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D56F6" w14:textId="2357FFFC" w:rsidR="00AD21E2" w:rsidRDefault="00DD7D39" w:rsidP="002A061D">
      <w:pPr>
        <w:pStyle w:val="EinfAbs"/>
        <w:jc w:val="center"/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INAUGURA IL SUO 2</w:t>
      </w:r>
      <w:r w:rsidR="00FD613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4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° </w:t>
      </w:r>
      <w:r w:rsidR="0037789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store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A MILANO</w:t>
      </w:r>
    </w:p>
    <w:p w14:paraId="36EB26BE" w14:textId="7C233F63" w:rsidR="00043D84" w:rsidRPr="00043D84" w:rsidRDefault="00EF00BF" w:rsidP="00043D84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6"/>
          <w:szCs w:val="26"/>
          <w:lang w:val="it-IT"/>
        </w:rPr>
      </w:pPr>
      <w:r w:rsidRPr="00EF00BF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Nuovo presidio </w:t>
      </w:r>
      <w:r w:rsidR="005A3FF4" w:rsidRPr="005A3FF4">
        <w:rPr>
          <w:rFonts w:asciiTheme="minorHAnsi" w:hAnsiTheme="minorHAnsi" w:cstheme="minorHAnsi"/>
          <w:bCs/>
          <w:i/>
          <w:sz w:val="26"/>
          <w:szCs w:val="26"/>
          <w:lang w:val="it-IT"/>
        </w:rPr>
        <w:t>strategic</w:t>
      </w:r>
      <w:r w:rsidR="005A3FF4">
        <w:rPr>
          <w:rFonts w:asciiTheme="minorHAnsi" w:hAnsiTheme="minorHAnsi" w:cstheme="minorHAnsi"/>
          <w:bCs/>
          <w:i/>
          <w:sz w:val="26"/>
          <w:szCs w:val="26"/>
          <w:lang w:val="it-IT"/>
        </w:rPr>
        <w:t>o</w:t>
      </w:r>
      <w:r w:rsidRPr="00EF00BF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, </w:t>
      </w:r>
      <w:r w:rsidR="005A3FF4">
        <w:rPr>
          <w:rFonts w:asciiTheme="minorHAnsi" w:hAnsiTheme="minorHAnsi" w:cstheme="minorHAnsi"/>
          <w:bCs/>
          <w:i/>
          <w:sz w:val="26"/>
          <w:szCs w:val="26"/>
          <w:lang w:val="it-IT"/>
        </w:rPr>
        <w:t>appena</w:t>
      </w:r>
      <w:r w:rsidRPr="00EF00BF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fuori dall'Area C</w:t>
      </w:r>
    </w:p>
    <w:p w14:paraId="50EDAC6D" w14:textId="23353AC0" w:rsidR="00043D84" w:rsidRPr="00043D84" w:rsidRDefault="00540D1E" w:rsidP="00043D84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6"/>
          <w:szCs w:val="26"/>
          <w:lang w:val="it-IT"/>
        </w:rPr>
      </w:pPr>
      <w:r>
        <w:rPr>
          <w:rFonts w:asciiTheme="minorHAnsi" w:hAnsiTheme="minorHAnsi" w:cstheme="minorHAnsi"/>
          <w:bCs/>
          <w:i/>
          <w:sz w:val="26"/>
          <w:szCs w:val="26"/>
          <w:lang w:val="it-IT"/>
        </w:rPr>
        <w:t>Creati 20 nuovi posti di lavoro</w:t>
      </w:r>
    </w:p>
    <w:p w14:paraId="42D41755" w14:textId="77777777" w:rsidR="00E1137C" w:rsidRDefault="00E1137C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72FF14CB" w14:textId="4354CAA1" w:rsidR="00592A30" w:rsidRPr="00216753" w:rsidRDefault="002A061D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Milano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 w:rsidR="00BE7597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30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E7597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ottobre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187250456"/>
      <w:bookmarkStart w:id="1" w:name="_Hlk95897806"/>
      <w:r w:rsidR="000C5C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bookmarkEnd w:id="0"/>
      <w:bookmarkEnd w:id="1"/>
      <w:r w:rsidR="00B65645" w:rsidRPr="00B6564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 Italia prosegue il suo piano di </w:t>
      </w:r>
      <w:r w:rsidR="00B65645" w:rsidRPr="002B06A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sviluppo </w:t>
      </w:r>
      <w:r w:rsidR="00540D1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mirato</w:t>
      </w:r>
      <w:r w:rsidR="00B65645" w:rsidRPr="002B06A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nelle aree metropolitane </w:t>
      </w:r>
      <w:r w:rsidR="00B65645" w:rsidRPr="002B06A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 l'inaugurazione del suo 24° store cittadino nel cuore di Milano</w:t>
      </w:r>
      <w:r w:rsidR="00B65645" w:rsidRPr="00B6564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B65645" w:rsidRPr="002B06A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Il nuovo punto vendita di Via Solari, posizionato strategicamente appena fuori dalla cerchia dell'Area C</w:t>
      </w:r>
      <w:r w:rsidR="00B65645" w:rsidRPr="00B6564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540D1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infatti, </w:t>
      </w:r>
      <w:r w:rsidR="00B65645" w:rsidRPr="00B6564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conferma i piani dell'Azienda per una presenza </w:t>
      </w:r>
      <w:r w:rsidR="00540D1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capillare anche</w:t>
      </w:r>
      <w:r w:rsidR="002B06A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nei principali centri urbani</w:t>
      </w:r>
      <w:r w:rsidR="00B65645" w:rsidRPr="00B6564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40D1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 linea con l’obiettivo dichiarato</w:t>
      </w:r>
      <w:r w:rsidR="00B65645" w:rsidRPr="00B6564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raggiungere i mille punti vendita su tutto il territorio nazionale entro il 2030. </w:t>
      </w:r>
      <w:r w:rsidR="002B06A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taglio del nastro di questa mattina</w:t>
      </w:r>
      <w:r w:rsidR="00540D1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65645" w:rsidRPr="00B6564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ha generato</w:t>
      </w:r>
      <w:r w:rsidR="002B06A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</w:t>
      </w:r>
      <w:r w:rsidR="00B65645" w:rsidRPr="00B6564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 significativo risvolto occupazionale con </w:t>
      </w:r>
      <w:r w:rsidR="00B65645" w:rsidRPr="002B06A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l’assunzione di 2</w:t>
      </w:r>
      <w:r w:rsidR="0093629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B65645" w:rsidRPr="002B06A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</w:t>
      </w:r>
      <w:r w:rsidR="00B65645" w:rsidRPr="00B6564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29F461ED" w14:textId="77777777" w:rsidR="00B65645" w:rsidRDefault="00B65645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5D7FBA35" w14:textId="5A78CBE6" w:rsidR="00BE7597" w:rsidRPr="00BE7597" w:rsidRDefault="002B06A7" w:rsidP="00BE7597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Un format metropolitano pensato per il quartiere</w:t>
      </w:r>
    </w:p>
    <w:p w14:paraId="4C094AF6" w14:textId="609A6EEF" w:rsidR="00060737" w:rsidRDefault="002B06A7" w:rsidP="00DA2376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</w:pPr>
      <w:r w:rsidRPr="002B06A7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Il nuovo store di Via Solari è aperto </w:t>
      </w:r>
      <w:r w:rsidRPr="000711F1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dal lunedì al sabato dalle 8:00 alle 21:30 e la domenica dalle 8:30 alle 21:00</w:t>
      </w:r>
      <w:r w:rsidRPr="002B06A7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. Con un’area vendita di circa </w:t>
      </w:r>
      <w:r w:rsidRPr="000711F1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1.000 mq</w:t>
      </w:r>
      <w:r w:rsidRPr="002B06A7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, adotta un </w:t>
      </w:r>
      <w:r w:rsidRPr="000711F1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format metropolitano specifico, pensato per inserirsi armonicamente nei contesti urbani e rivolto in particolare a chi si sposta a piedi e vive il quartiere</w:t>
      </w:r>
      <w:r w:rsidR="00E43119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 xml:space="preserve"> quotidianamente</w:t>
      </w:r>
      <w:r w:rsidRPr="002B06A7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. La struttura rispetta i più recenti metodi di costruzione aziendali, volti a ridurre l’impatto ambientale: il fabbisogno energetico è coperto al </w:t>
      </w:r>
      <w:r w:rsidRPr="000711F1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100% con energia proveniente da fonti rinnovabili</w:t>
      </w:r>
      <w:r w:rsidRPr="002B06A7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e l'illuminazione</w:t>
      </w:r>
      <w:r w:rsidR="00E43119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,</w:t>
      </w:r>
      <w:r w:rsidRPr="002B06A7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tramite moderni sistemi a LED</w:t>
      </w:r>
      <w:r w:rsidR="00540D1E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="00540D1E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dimmerabili</w:t>
      </w:r>
      <w:proofErr w:type="spellEnd"/>
      <w:r w:rsidR="00E43119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,</w:t>
      </w:r>
      <w:r w:rsidRPr="002B06A7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garantisce un </w:t>
      </w:r>
      <w:r w:rsidRPr="000711F1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risparmio del 50%</w:t>
      </w:r>
      <w:r w:rsidRPr="002B06A7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rispetto alle tecnologie tradizionali.</w:t>
      </w:r>
    </w:p>
    <w:p w14:paraId="3287D950" w14:textId="77777777" w:rsidR="002B06A7" w:rsidRPr="00992F9D" w:rsidRDefault="002B06A7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62A2C78B" w14:textId="2C1FE05D" w:rsidR="009A3AE9" w:rsidRPr="0029724C" w:rsidRDefault="00D70771" w:rsidP="0029724C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Tutto per 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una spesa </w:t>
      </w:r>
      <w:r w:rsidR="009A3AE9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conveniente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e di qualità</w:t>
      </w:r>
    </w:p>
    <w:p w14:paraId="0B32F289" w14:textId="27D8E031" w:rsidR="002B06A7" w:rsidRDefault="002B06A7" w:rsidP="002B06A7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 w:rsidRPr="00A73703">
        <w:rPr>
          <w:rFonts w:cs="Calibri-Bold"/>
          <w:bCs/>
          <w:color w:val="auto"/>
          <w:sz w:val="22"/>
          <w:szCs w:val="22"/>
        </w:rPr>
        <w:t xml:space="preserve">Il nuovo </w:t>
      </w:r>
      <w:r>
        <w:rPr>
          <w:rFonts w:cs="Calibri-Bold"/>
          <w:bCs/>
          <w:color w:val="auto"/>
          <w:sz w:val="22"/>
          <w:szCs w:val="22"/>
        </w:rPr>
        <w:t>punto vendita milanese</w:t>
      </w:r>
      <w:r w:rsidRPr="00A73703">
        <w:rPr>
          <w:rFonts w:cs="Calibri-Bold"/>
          <w:bCs/>
          <w:color w:val="auto"/>
          <w:sz w:val="22"/>
          <w:szCs w:val="22"/>
        </w:rPr>
        <w:t xml:space="preserve"> propone un’ampia </w:t>
      </w:r>
      <w:r>
        <w:rPr>
          <w:rFonts w:cs="Calibri-Bold"/>
          <w:bCs/>
          <w:color w:val="auto"/>
          <w:sz w:val="22"/>
          <w:szCs w:val="22"/>
        </w:rPr>
        <w:t>varietà</w:t>
      </w:r>
      <w:r w:rsidRPr="00A73703">
        <w:rPr>
          <w:rFonts w:cs="Calibri-Bold"/>
          <w:bCs/>
          <w:color w:val="auto"/>
          <w:sz w:val="22"/>
          <w:szCs w:val="22"/>
        </w:rPr>
        <w:t xml:space="preserve"> di prodotti freschi, con </w:t>
      </w:r>
      <w:r w:rsidRPr="00A73703">
        <w:rPr>
          <w:rFonts w:cs="Calibri-Bold"/>
          <w:b/>
          <w:color w:val="auto"/>
          <w:sz w:val="22"/>
          <w:szCs w:val="22"/>
        </w:rPr>
        <w:t>frutta e verdura</w:t>
      </w:r>
      <w:r w:rsidRPr="00A73703">
        <w:rPr>
          <w:rFonts w:cs="Calibri-Bold"/>
          <w:bCs/>
          <w:color w:val="auto"/>
          <w:sz w:val="22"/>
          <w:szCs w:val="22"/>
        </w:rPr>
        <w:t xml:space="preserve"> consegnate </w:t>
      </w:r>
      <w:r w:rsidR="00E43119">
        <w:rPr>
          <w:rFonts w:cs="Calibri-Bold"/>
          <w:bCs/>
          <w:color w:val="auto"/>
          <w:sz w:val="22"/>
          <w:szCs w:val="22"/>
        </w:rPr>
        <w:t>ogni giorno</w:t>
      </w:r>
      <w:r w:rsidRPr="00A73703">
        <w:rPr>
          <w:rFonts w:cs="Calibri-Bold"/>
          <w:bCs/>
          <w:color w:val="auto"/>
          <w:sz w:val="22"/>
          <w:szCs w:val="22"/>
        </w:rPr>
        <w:t xml:space="preserve">, un ricco assortimento di </w:t>
      </w:r>
      <w:r w:rsidRPr="00A73703">
        <w:rPr>
          <w:rFonts w:cs="Calibri-Bold"/>
          <w:b/>
          <w:color w:val="auto"/>
          <w:sz w:val="22"/>
          <w:szCs w:val="22"/>
        </w:rPr>
        <w:t>pane e specialità da forno</w:t>
      </w:r>
      <w:r w:rsidRPr="00A73703">
        <w:rPr>
          <w:rFonts w:cs="Calibri-Bold"/>
          <w:bCs/>
          <w:color w:val="auto"/>
          <w:sz w:val="22"/>
          <w:szCs w:val="22"/>
        </w:rPr>
        <w:t xml:space="preserve"> nell’area panetteria, oltre a </w:t>
      </w:r>
      <w:r w:rsidRPr="00A73703">
        <w:rPr>
          <w:rFonts w:cs="Calibri-Bold"/>
          <w:b/>
          <w:color w:val="auto"/>
          <w:sz w:val="22"/>
          <w:szCs w:val="22"/>
        </w:rPr>
        <w:t>piatti pronti</w:t>
      </w:r>
      <w:r w:rsidRPr="00A73703">
        <w:rPr>
          <w:rFonts w:cs="Calibri-Bold"/>
          <w:bCs/>
          <w:color w:val="auto"/>
          <w:sz w:val="22"/>
          <w:szCs w:val="22"/>
        </w:rPr>
        <w:t xml:space="preserve"> disponibili nell’angolo rosticceria. Fa parte della proposta anche una selezione di oltre 70 </w:t>
      </w:r>
      <w:r w:rsidRPr="00A73703">
        <w:rPr>
          <w:rFonts w:cs="Calibri-Bold"/>
          <w:b/>
          <w:color w:val="auto"/>
          <w:sz w:val="22"/>
          <w:szCs w:val="22"/>
        </w:rPr>
        <w:t xml:space="preserve">referenze vegetariane e vegane certificate V-Label a marchio </w:t>
      </w:r>
      <w:proofErr w:type="spellStart"/>
      <w:r w:rsidRPr="00A73703">
        <w:rPr>
          <w:rFonts w:cs="Calibri-Bold"/>
          <w:b/>
          <w:color w:val="auto"/>
          <w:sz w:val="22"/>
          <w:szCs w:val="22"/>
        </w:rPr>
        <w:t>Vemondo</w:t>
      </w:r>
      <w:proofErr w:type="spellEnd"/>
      <w:r w:rsidRPr="00A73703">
        <w:rPr>
          <w:rFonts w:cs="Calibri-Bold"/>
          <w:bCs/>
          <w:color w:val="auto"/>
          <w:sz w:val="22"/>
          <w:szCs w:val="22"/>
        </w:rPr>
        <w:t xml:space="preserve">, aggiornata settimanalmente con nuovi prodotti </w:t>
      </w:r>
      <w:proofErr w:type="spellStart"/>
      <w:r w:rsidRPr="00A73703">
        <w:rPr>
          <w:rFonts w:cs="Calibri-Bold"/>
          <w:bCs/>
          <w:color w:val="auto"/>
          <w:sz w:val="22"/>
          <w:szCs w:val="22"/>
        </w:rPr>
        <w:t>in&amp;out</w:t>
      </w:r>
      <w:proofErr w:type="spellEnd"/>
      <w:r w:rsidRPr="00A73703">
        <w:rPr>
          <w:rFonts w:cs="Calibri-Bold"/>
          <w:bCs/>
          <w:color w:val="auto"/>
          <w:sz w:val="22"/>
          <w:szCs w:val="22"/>
        </w:rPr>
        <w:t xml:space="preserve">. Tra i marchi più rappresentativi dell’insegna si distinguono </w:t>
      </w:r>
      <w:r w:rsidRPr="00A73703">
        <w:rPr>
          <w:rFonts w:cs="Calibri-Bold"/>
          <w:b/>
          <w:color w:val="auto"/>
          <w:sz w:val="22"/>
          <w:szCs w:val="22"/>
        </w:rPr>
        <w:t>Deluxe</w:t>
      </w:r>
      <w:r w:rsidRPr="00A73703">
        <w:rPr>
          <w:rFonts w:cs="Calibri-Bold"/>
          <w:bCs/>
          <w:color w:val="auto"/>
          <w:sz w:val="22"/>
          <w:szCs w:val="22"/>
        </w:rPr>
        <w:t xml:space="preserve">, brand premium dedicato </w:t>
      </w:r>
      <w:r w:rsidRPr="00BF7F40">
        <w:rPr>
          <w:rFonts w:cs="Calibri-Bold"/>
          <w:bCs/>
          <w:color w:val="auto"/>
          <w:sz w:val="22"/>
          <w:szCs w:val="22"/>
        </w:rPr>
        <w:t>alle eccellenze alimentari</w:t>
      </w:r>
      <w:r>
        <w:rPr>
          <w:rFonts w:cs="Calibri-Bold"/>
          <w:bCs/>
          <w:color w:val="auto"/>
          <w:sz w:val="22"/>
          <w:szCs w:val="22"/>
        </w:rPr>
        <w:t xml:space="preserve">, </w:t>
      </w:r>
      <w:r w:rsidRPr="00A73703">
        <w:rPr>
          <w:rFonts w:cs="Calibri-Bold"/>
          <w:bCs/>
          <w:color w:val="auto"/>
          <w:sz w:val="22"/>
          <w:szCs w:val="22"/>
        </w:rPr>
        <w:t xml:space="preserve">e </w:t>
      </w:r>
      <w:proofErr w:type="spellStart"/>
      <w:r w:rsidRPr="00A73703">
        <w:rPr>
          <w:rFonts w:cs="Calibri-Bold"/>
          <w:b/>
          <w:color w:val="auto"/>
          <w:sz w:val="22"/>
          <w:szCs w:val="22"/>
        </w:rPr>
        <w:t>Italiamo</w:t>
      </w:r>
      <w:proofErr w:type="spellEnd"/>
      <w:r w:rsidRPr="00A73703">
        <w:rPr>
          <w:rFonts w:cs="Calibri-Bold"/>
          <w:bCs/>
          <w:color w:val="auto"/>
          <w:sz w:val="22"/>
          <w:szCs w:val="22"/>
        </w:rPr>
        <w:t xml:space="preserve">, linea che valorizza la tradizione gastronomica </w:t>
      </w:r>
      <w:r>
        <w:rPr>
          <w:rFonts w:cs="Calibri-Bold"/>
          <w:bCs/>
          <w:color w:val="auto"/>
          <w:sz w:val="22"/>
          <w:szCs w:val="22"/>
        </w:rPr>
        <w:t>dello Stivale</w:t>
      </w:r>
      <w:r w:rsidRPr="00A73703">
        <w:rPr>
          <w:rFonts w:cs="Calibri-Bold"/>
          <w:bCs/>
          <w:color w:val="auto"/>
          <w:sz w:val="22"/>
          <w:szCs w:val="22"/>
        </w:rPr>
        <w:t xml:space="preserve">. L’offerta include anche </w:t>
      </w:r>
      <w:r>
        <w:rPr>
          <w:rFonts w:cs="Calibri-Bold"/>
          <w:bCs/>
          <w:color w:val="auto"/>
          <w:sz w:val="22"/>
          <w:szCs w:val="22"/>
        </w:rPr>
        <w:t>ma</w:t>
      </w:r>
      <w:r w:rsidR="005A3FF4">
        <w:rPr>
          <w:rFonts w:cs="Calibri-Bold"/>
          <w:bCs/>
          <w:color w:val="auto"/>
          <w:sz w:val="22"/>
          <w:szCs w:val="22"/>
        </w:rPr>
        <w:t>r</w:t>
      </w:r>
      <w:r>
        <w:rPr>
          <w:rFonts w:cs="Calibri-Bold"/>
          <w:bCs/>
          <w:color w:val="auto"/>
          <w:sz w:val="22"/>
          <w:szCs w:val="22"/>
        </w:rPr>
        <w:t>chi</w:t>
      </w:r>
      <w:r w:rsidRPr="00A73703">
        <w:rPr>
          <w:rFonts w:cs="Calibri-Bold"/>
          <w:bCs/>
          <w:color w:val="auto"/>
          <w:sz w:val="22"/>
          <w:szCs w:val="22"/>
        </w:rPr>
        <w:t xml:space="preserve"> </w:t>
      </w:r>
      <w:r>
        <w:rPr>
          <w:rFonts w:cs="Calibri-Bold"/>
          <w:bCs/>
          <w:color w:val="auto"/>
          <w:sz w:val="22"/>
          <w:szCs w:val="22"/>
        </w:rPr>
        <w:t>non-food</w:t>
      </w:r>
      <w:r w:rsidRPr="00A73703">
        <w:rPr>
          <w:rFonts w:cs="Calibri-Bold"/>
          <w:bCs/>
          <w:color w:val="auto"/>
          <w:sz w:val="22"/>
          <w:szCs w:val="22"/>
        </w:rPr>
        <w:t xml:space="preserve">, come </w:t>
      </w:r>
      <w:proofErr w:type="spellStart"/>
      <w:r w:rsidRPr="00A73703">
        <w:rPr>
          <w:rFonts w:cs="Calibri-Bold"/>
          <w:b/>
          <w:color w:val="auto"/>
          <w:sz w:val="22"/>
          <w:szCs w:val="22"/>
        </w:rPr>
        <w:t>Parkside</w:t>
      </w:r>
      <w:proofErr w:type="spellEnd"/>
      <w:r w:rsidRPr="00A73703">
        <w:rPr>
          <w:rFonts w:cs="Calibri-Bold"/>
          <w:bCs/>
          <w:color w:val="auto"/>
          <w:sz w:val="22"/>
          <w:szCs w:val="22"/>
        </w:rPr>
        <w:t xml:space="preserve">, dedicato al bricolage e al giardinaggio, e </w:t>
      </w:r>
      <w:proofErr w:type="spellStart"/>
      <w:r w:rsidRPr="00A73703">
        <w:rPr>
          <w:rFonts w:cs="Calibri-Bold"/>
          <w:b/>
          <w:color w:val="auto"/>
          <w:sz w:val="22"/>
          <w:szCs w:val="22"/>
        </w:rPr>
        <w:t>Crivit</w:t>
      </w:r>
      <w:proofErr w:type="spellEnd"/>
      <w:r w:rsidRPr="00A73703">
        <w:rPr>
          <w:rFonts w:cs="Calibri-Bold"/>
          <w:bCs/>
          <w:color w:val="auto"/>
          <w:sz w:val="22"/>
          <w:szCs w:val="22"/>
        </w:rPr>
        <w:t xml:space="preserve">, gamma di abbigliamento e attrezzature sportive. A completare l’esperienza di acquisto, i clienti possono usufruire di </w:t>
      </w:r>
      <w:r w:rsidRPr="00A73703">
        <w:rPr>
          <w:rFonts w:cs="Calibri-Bold"/>
          <w:b/>
          <w:color w:val="auto"/>
          <w:sz w:val="22"/>
          <w:szCs w:val="22"/>
        </w:rPr>
        <w:t>Lidl Plus</w:t>
      </w:r>
      <w:r w:rsidRPr="00A73703">
        <w:rPr>
          <w:rFonts w:cs="Calibri-Bold"/>
          <w:bCs/>
          <w:color w:val="auto"/>
          <w:sz w:val="22"/>
          <w:szCs w:val="22"/>
        </w:rPr>
        <w:t>, l’app gratuita che consente di accedere a buoni sconto personalizzati, promozioni esclusive e volantini digitali direttamente dal proprio smartphone.</w:t>
      </w:r>
    </w:p>
    <w:p w14:paraId="67D9DDD3" w14:textId="77777777" w:rsidR="0029724C" w:rsidRPr="00992F9D" w:rsidRDefault="0029724C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Default="004B42C1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2A9AF9DC" w14:textId="77777777" w:rsidR="002B06A7" w:rsidRDefault="002B06A7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2577B50F" w14:textId="77777777" w:rsidR="00005880" w:rsidRPr="00AE06FA" w:rsidRDefault="00005880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lastRenderedPageBreak/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1BC8AD76" w14:textId="37A7B7D6" w:rsidR="000711F1" w:rsidRPr="00C06826" w:rsidRDefault="000711F1" w:rsidP="000711F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2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</w:t>
      </w:r>
      <w:r w:rsidR="00043D84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2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1C292282" w14:textId="77777777" w:rsidR="000711F1" w:rsidRDefault="000711F1" w:rsidP="000711F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11D9D01" w14:textId="77777777" w:rsidR="000711F1" w:rsidRPr="00171FA8" w:rsidRDefault="000711F1" w:rsidP="000711F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81D3005" w14:textId="77777777" w:rsidR="000711F1" w:rsidRPr="00171FA8" w:rsidRDefault="000711F1" w:rsidP="000711F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32C7DEA6" w14:textId="77777777" w:rsidR="000711F1" w:rsidRPr="00A104F0" w:rsidRDefault="000711F1" w:rsidP="000711F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38B54DF0" w14:textId="77777777" w:rsidR="000711F1" w:rsidRPr="006E42C5" w:rsidRDefault="000711F1" w:rsidP="000711F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2877EF6E" w:rsidR="00171FA8" w:rsidRPr="006E42C5" w:rsidRDefault="00171FA8" w:rsidP="000711F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618E02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hdrShapeDefaults>
    <o:shapedefaults v:ext="edit" spidmax="4853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880"/>
    <w:rsid w:val="00005B4B"/>
    <w:rsid w:val="00006720"/>
    <w:rsid w:val="000106D3"/>
    <w:rsid w:val="00010A67"/>
    <w:rsid w:val="00017AD1"/>
    <w:rsid w:val="00017D8C"/>
    <w:rsid w:val="00017DEE"/>
    <w:rsid w:val="00023663"/>
    <w:rsid w:val="00024E8E"/>
    <w:rsid w:val="00025A71"/>
    <w:rsid w:val="00030EBA"/>
    <w:rsid w:val="00032445"/>
    <w:rsid w:val="000372AD"/>
    <w:rsid w:val="000425DF"/>
    <w:rsid w:val="00043D84"/>
    <w:rsid w:val="00054718"/>
    <w:rsid w:val="000575B7"/>
    <w:rsid w:val="000603EC"/>
    <w:rsid w:val="00060695"/>
    <w:rsid w:val="00060737"/>
    <w:rsid w:val="00060BC2"/>
    <w:rsid w:val="000711F1"/>
    <w:rsid w:val="0007383C"/>
    <w:rsid w:val="00076038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5C6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16753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EF8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9724C"/>
    <w:rsid w:val="002A061D"/>
    <w:rsid w:val="002A2EA8"/>
    <w:rsid w:val="002A383A"/>
    <w:rsid w:val="002A39F2"/>
    <w:rsid w:val="002B06A7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A6B"/>
    <w:rsid w:val="002D779A"/>
    <w:rsid w:val="002E526E"/>
    <w:rsid w:val="002F325A"/>
    <w:rsid w:val="002F516C"/>
    <w:rsid w:val="0030002F"/>
    <w:rsid w:val="00301135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1C1D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77892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57D6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34BF"/>
    <w:rsid w:val="00495BB1"/>
    <w:rsid w:val="0049612D"/>
    <w:rsid w:val="004A30FD"/>
    <w:rsid w:val="004B0B31"/>
    <w:rsid w:val="004B1C85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78FE"/>
    <w:rsid w:val="00527C82"/>
    <w:rsid w:val="00530E34"/>
    <w:rsid w:val="00531A26"/>
    <w:rsid w:val="00532BD6"/>
    <w:rsid w:val="00533200"/>
    <w:rsid w:val="00533276"/>
    <w:rsid w:val="005361BA"/>
    <w:rsid w:val="005367C7"/>
    <w:rsid w:val="00536EE6"/>
    <w:rsid w:val="00540D1E"/>
    <w:rsid w:val="00540F70"/>
    <w:rsid w:val="0054300E"/>
    <w:rsid w:val="00543A2E"/>
    <w:rsid w:val="005441BE"/>
    <w:rsid w:val="00546279"/>
    <w:rsid w:val="00547190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96FB0"/>
    <w:rsid w:val="00597D60"/>
    <w:rsid w:val="005A1874"/>
    <w:rsid w:val="005A3096"/>
    <w:rsid w:val="005A3FF4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55898"/>
    <w:rsid w:val="00657297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947AB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25035"/>
    <w:rsid w:val="00730ED9"/>
    <w:rsid w:val="00733CE1"/>
    <w:rsid w:val="0074190F"/>
    <w:rsid w:val="00757C2B"/>
    <w:rsid w:val="00757F46"/>
    <w:rsid w:val="0076125D"/>
    <w:rsid w:val="00764ECB"/>
    <w:rsid w:val="00765598"/>
    <w:rsid w:val="00766453"/>
    <w:rsid w:val="00767460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E6D68"/>
    <w:rsid w:val="007F0BA2"/>
    <w:rsid w:val="007F0DEC"/>
    <w:rsid w:val="007F1F7F"/>
    <w:rsid w:val="007F6D48"/>
    <w:rsid w:val="008040D9"/>
    <w:rsid w:val="00814ECB"/>
    <w:rsid w:val="008234CB"/>
    <w:rsid w:val="00826C76"/>
    <w:rsid w:val="00832CB5"/>
    <w:rsid w:val="008346A8"/>
    <w:rsid w:val="00835707"/>
    <w:rsid w:val="00835F47"/>
    <w:rsid w:val="00836268"/>
    <w:rsid w:val="008413DD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B4F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32E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05A2B"/>
    <w:rsid w:val="00914787"/>
    <w:rsid w:val="00917877"/>
    <w:rsid w:val="00920A11"/>
    <w:rsid w:val="00921CB4"/>
    <w:rsid w:val="00922049"/>
    <w:rsid w:val="00930C2D"/>
    <w:rsid w:val="0093165D"/>
    <w:rsid w:val="00931C90"/>
    <w:rsid w:val="0093340C"/>
    <w:rsid w:val="00933BC4"/>
    <w:rsid w:val="00936290"/>
    <w:rsid w:val="00936615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3AE9"/>
    <w:rsid w:val="009A4B76"/>
    <w:rsid w:val="009A4D0F"/>
    <w:rsid w:val="009A6E93"/>
    <w:rsid w:val="009B1739"/>
    <w:rsid w:val="009B28B2"/>
    <w:rsid w:val="009B33F8"/>
    <w:rsid w:val="009C0411"/>
    <w:rsid w:val="009C56BF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4D40"/>
    <w:rsid w:val="00A56C2B"/>
    <w:rsid w:val="00A60463"/>
    <w:rsid w:val="00A65036"/>
    <w:rsid w:val="00A6700E"/>
    <w:rsid w:val="00A857BC"/>
    <w:rsid w:val="00A8771B"/>
    <w:rsid w:val="00A91D97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21E2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411A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5645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585"/>
    <w:rsid w:val="00BC26FA"/>
    <w:rsid w:val="00BC3786"/>
    <w:rsid w:val="00BC6E07"/>
    <w:rsid w:val="00BD19EF"/>
    <w:rsid w:val="00BD500F"/>
    <w:rsid w:val="00BE7597"/>
    <w:rsid w:val="00BF2955"/>
    <w:rsid w:val="00BF3A78"/>
    <w:rsid w:val="00BF6413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0BF5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0635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D7D39"/>
    <w:rsid w:val="00DE3421"/>
    <w:rsid w:val="00DE56DD"/>
    <w:rsid w:val="00DE76D6"/>
    <w:rsid w:val="00DF3D08"/>
    <w:rsid w:val="00DF46D9"/>
    <w:rsid w:val="00E0460F"/>
    <w:rsid w:val="00E07D37"/>
    <w:rsid w:val="00E10D01"/>
    <w:rsid w:val="00E1137C"/>
    <w:rsid w:val="00E12B16"/>
    <w:rsid w:val="00E20156"/>
    <w:rsid w:val="00E269C9"/>
    <w:rsid w:val="00E305BA"/>
    <w:rsid w:val="00E3078B"/>
    <w:rsid w:val="00E342E9"/>
    <w:rsid w:val="00E40992"/>
    <w:rsid w:val="00E4205F"/>
    <w:rsid w:val="00E43119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A0477"/>
    <w:rsid w:val="00EA08E0"/>
    <w:rsid w:val="00EA460E"/>
    <w:rsid w:val="00EA6353"/>
    <w:rsid w:val="00EB0559"/>
    <w:rsid w:val="00EB31AC"/>
    <w:rsid w:val="00EC4CE1"/>
    <w:rsid w:val="00EC74AA"/>
    <w:rsid w:val="00ED1B20"/>
    <w:rsid w:val="00ED20A6"/>
    <w:rsid w:val="00ED229D"/>
    <w:rsid w:val="00ED2648"/>
    <w:rsid w:val="00EE141D"/>
    <w:rsid w:val="00EE4F5C"/>
    <w:rsid w:val="00EE6CDC"/>
    <w:rsid w:val="00EE79E8"/>
    <w:rsid w:val="00EF00BF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33739"/>
    <w:rsid w:val="00F43738"/>
    <w:rsid w:val="00F43AAF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3405"/>
    <w:rsid w:val="00FB5053"/>
    <w:rsid w:val="00FD297A"/>
    <w:rsid w:val="00FD4BCF"/>
    <w:rsid w:val="00FD5386"/>
    <w:rsid w:val="00FD6135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537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37</cp:revision>
  <cp:lastPrinted>2023-02-14T10:18:00Z</cp:lastPrinted>
  <dcterms:created xsi:type="dcterms:W3CDTF">2024-12-23T14:46:00Z</dcterms:created>
  <dcterms:modified xsi:type="dcterms:W3CDTF">2025-10-20T12:48:00Z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